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bCs/>
          <w:caps/>
          <w:color w:val="1F3864"/>
          <w:sz w:val="40"/>
          <w:szCs w:val="40"/>
        </w:rPr>
        <w:t xml:space="preserve">SARDEGNA EDILE</w:t>
      </w:r>
    </w:p>
    <w:p>
      <w:pPr>
        <w:spacing w:after="60" w:before="0"/>
        <w:jc w:val="center"/>
      </w:pPr>
      <w:r>
        <w:rPr>
          <w:rFonts w:ascii="Arial" w:cs="Arial" w:eastAsia="Arial" w:hAnsi="Arial"/>
          <w:color w:val="595959"/>
          <w:sz w:val="20"/>
          <w:szCs w:val="20"/>
        </w:rPr>
        <w:t xml:space="preserve">Geom. Antonio Deriu — P.IVA IT03052310905</w:t>
      </w:r>
    </w:p>
    <w:p>
      <w:pPr>
        <w:pBdr>
          <w:bottom w:val="single" w:color="2E75B6" w:sz="6" w:space="6"/>
        </w:pBdr>
        <w:spacing w:after="200" w:before="0"/>
        <w:jc w:val="center"/>
      </w:pPr>
      <w:r>
        <w:rPr>
          <w:rFonts w:ascii="Arial" w:cs="Arial" w:eastAsia="Arial" w:hAnsi="Arial"/>
          <w:color w:val="2E75B6"/>
          <w:sz w:val="20"/>
          <w:szCs w:val="20"/>
        </w:rPr>
        <w:t xml:space="preserve">www.sardegnaedile.com</w:t>
      </w:r>
    </w:p>
    <w:p>
      <w:pPr>
        <w:spacing w:after="80" w:before="0"/>
      </w:pPr>
      <w:r>
        <w:t xml:space="preserve"/>
      </w:r>
    </w:p>
    <w:p>
      <w:pPr>
        <w:spacing w:after="60" w:before="0"/>
        <w:jc w:val="center"/>
      </w:pPr>
      <w:r>
        <w:rPr>
          <w:rFonts w:ascii="Arial" w:cs="Arial" w:eastAsia="Arial" w:hAnsi="Arial"/>
          <w:b/>
          <w:bCs/>
          <w:caps/>
          <w:color w:val="1F3864"/>
          <w:sz w:val="32"/>
          <w:szCs w:val="32"/>
        </w:rPr>
        <w:t xml:space="preserve">INFORMATIVA SUL TRATTAMENTO DEI DATI PERSONALI</w:t>
      </w:r>
    </w:p>
    <w:p>
      <w:pPr>
        <w:spacing w:after="40" w:before="0"/>
        <w:jc w:val="center"/>
      </w:pPr>
      <w:r>
        <w:rPr>
          <w:rFonts w:ascii="Arial" w:cs="Arial" w:eastAsia="Arial" w:hAnsi="Arial"/>
          <w:i/>
          <w:iCs/>
          <w:color w:val="595959"/>
          <w:sz w:val="22"/>
          <w:szCs w:val="22"/>
        </w:rPr>
        <w:t xml:space="preserve">ai sensi dell'art. 13 del Regolamento UE 2016/679 (GDPR)</w:t>
      </w:r>
    </w:p>
    <w:p>
      <w:pPr>
        <w:spacing w:after="360" w:before="0"/>
        <w:jc w:val="center"/>
      </w:pPr>
      <w:r>
        <w:rPr>
          <w:rFonts w:ascii="Arial" w:cs="Arial" w:eastAsia="Arial" w:hAnsi="Arial"/>
          <w:i/>
          <w:iCs/>
          <w:color w:val="595959"/>
          <w:sz w:val="20"/>
          <w:szCs w:val="20"/>
        </w:rPr>
        <w:t xml:space="preserve">Versione 2.0 — 19 maggio 2026</w:t>
      </w:r>
    </w:p>
    <w:p>
      <w:pPr>
        <w:pBdr>
          <w:top w:val="single" w:color="2E75B6" w:sz="4" w:space="4"/>
          <w:bottom w:val="single" w:color="2E75B6" w:sz="4" w:space="4"/>
          <w:left w:val="thick" w:color="2E75B6" w:sz="14" w:space="8"/>
        </w:pBdr>
        <w:spacing w:after="120" w:before="120"/>
        <w:ind w:left="400" w:right="200"/>
      </w:pPr>
      <w:r>
        <w:rPr>
          <w:rFonts w:ascii="Arial" w:cs="Arial" w:eastAsia="Arial" w:hAnsi="Arial"/>
          <w:i/>
          <w:iCs/>
          <w:color w:val="1F3864"/>
          <w:sz w:val="22"/>
          <w:szCs w:val="22"/>
        </w:rPr>
        <w:t xml:space="preserve">La presente Informativa descrive come Sardegna Edile raccoglie, utilizza e protegge i dati personali degli utenti che visitano il sito www.sardegnaedile.com o che entrano in contatto con il Titolare per finalità commerciali. La lettura è consigliata prima di fornire qualsiasi dato personale.</w:t>
      </w:r>
    </w:p>
    <w:p>
      <w:pPr>
        <w:spacing w:after="80" w:before="0"/>
      </w:pPr>
      <w:r>
        <w:t xml:space="preserve"/>
      </w:r>
    </w:p>
    <w:p>
      <w:pPr>
        <w:pStyle w:val="Heading1"/>
        <w:pBdr>
          <w:bottom w:val="single" w:color="2E75B6" w:sz="4" w:space="4"/>
        </w:pBdr>
        <w:spacing w:after="120" w:before="400"/>
      </w:pPr>
      <w:r>
        <w:rPr>
          <w:rFonts w:ascii="Arial" w:cs="Arial" w:eastAsia="Arial" w:hAnsi="Arial"/>
          <w:b/>
          <w:bCs/>
          <w:color w:val="1F3864"/>
          <w:sz w:val="28"/>
          <w:szCs w:val="28"/>
        </w:rPr>
        <w:t xml:space="preserve">Art. 1 — Titolare del trattamento</w:t>
      </w:r>
    </w:p>
    <w:p>
      <w:pPr>
        <w:spacing w:after="100" w:before="60" w:line="280" w:lineRule="auto"/>
        <w:jc w:val="both"/>
      </w:pPr>
      <w:r>
        <w:rPr>
          <w:rFonts w:ascii="Arial" w:cs="Arial" w:eastAsia="Arial" w:hAnsi="Arial"/>
          <w:b w:val="false"/>
          <w:bCs w:val="false"/>
          <w:i w:val="false"/>
          <w:iCs w:val="false"/>
          <w:color w:val="000000"/>
          <w:sz w:val="22"/>
          <w:szCs w:val="22"/>
        </w:rPr>
        <w:t xml:space="preserve">Il Titolare del trattamento dei dati personali, ai sensi dell'art. 4 n. 7 GDPR, è:</w:t>
      </w:r>
    </w:p>
    <w:p>
      <w:pPr>
        <w:spacing w:after="80" w:before="0"/>
      </w:pPr>
      <w:r>
        <w:t xml:space="preserve"/>
      </w:r>
    </w:p>
    <w:p>
      <w:pPr>
        <w:spacing w:after="40" w:before="40"/>
      </w:pPr>
      <w:r>
        <w:rPr>
          <w:rFonts w:ascii="Arial" w:cs="Arial" w:eastAsia="Arial" w:hAnsi="Arial"/>
          <w:b/>
          <w:bCs/>
          <w:sz w:val="22"/>
          <w:szCs w:val="22"/>
        </w:rPr>
        <w:t xml:space="preserve">Nominativo:  </w:t>
      </w:r>
      <w:r>
        <w:rPr>
          <w:rFonts w:ascii="Arial" w:cs="Arial" w:eastAsia="Arial" w:hAnsi="Arial"/>
          <w:sz w:val="22"/>
          <w:szCs w:val="22"/>
        </w:rPr>
        <w:t xml:space="preserve">Geom. Antonio Deriu</w:t>
      </w:r>
    </w:p>
    <w:p>
      <w:pPr>
        <w:spacing w:after="40" w:before="40"/>
      </w:pPr>
      <w:r>
        <w:rPr>
          <w:rFonts w:ascii="Arial" w:cs="Arial" w:eastAsia="Arial" w:hAnsi="Arial"/>
          <w:b/>
          <w:bCs/>
          <w:sz w:val="22"/>
          <w:szCs w:val="22"/>
        </w:rPr>
        <w:t xml:space="preserve">Attività:  </w:t>
      </w:r>
      <w:r>
        <w:rPr>
          <w:rFonts w:ascii="Arial" w:cs="Arial" w:eastAsia="Arial" w:hAnsi="Arial"/>
          <w:sz w:val="22"/>
          <w:szCs w:val="22"/>
        </w:rPr>
        <w:t xml:space="preserve">Sardegna Edile — Consulenza commerciale e intermediazione serramenti</w:t>
      </w:r>
    </w:p>
    <w:p>
      <w:pPr>
        <w:spacing w:after="40" w:before="40"/>
      </w:pPr>
      <w:r>
        <w:rPr>
          <w:rFonts w:ascii="Arial" w:cs="Arial" w:eastAsia="Arial" w:hAnsi="Arial"/>
          <w:b/>
          <w:bCs/>
          <w:sz w:val="22"/>
          <w:szCs w:val="22"/>
        </w:rPr>
        <w:t xml:space="preserve">Sede operativa:  </w:t>
      </w:r>
      <w:r>
        <w:rPr>
          <w:rFonts w:ascii="Arial" w:cs="Arial" w:eastAsia="Arial" w:hAnsi="Arial"/>
          <w:sz w:val="22"/>
          <w:szCs w:val="22"/>
        </w:rPr>
        <w:t xml:space="preserve">Ittiri (SS), Sardegna — Italia</w:t>
      </w:r>
    </w:p>
    <w:p>
      <w:pPr>
        <w:spacing w:after="40" w:before="40"/>
      </w:pPr>
      <w:r>
        <w:rPr>
          <w:rFonts w:ascii="Arial" w:cs="Arial" w:eastAsia="Arial" w:hAnsi="Arial"/>
          <w:b/>
          <w:bCs/>
          <w:sz w:val="22"/>
          <w:szCs w:val="22"/>
        </w:rPr>
        <w:t xml:space="preserve">P.IVA:  </w:t>
      </w:r>
      <w:r>
        <w:rPr>
          <w:rFonts w:ascii="Arial" w:cs="Arial" w:eastAsia="Arial" w:hAnsi="Arial"/>
          <w:sz w:val="22"/>
          <w:szCs w:val="22"/>
        </w:rPr>
        <w:t xml:space="preserve">IT03052310905</w:t>
      </w:r>
    </w:p>
    <w:p>
      <w:pPr>
        <w:spacing w:after="40" w:before="40"/>
      </w:pPr>
      <w:r>
        <w:rPr>
          <w:rFonts w:ascii="Arial" w:cs="Arial" w:eastAsia="Arial" w:hAnsi="Arial"/>
          <w:b/>
          <w:bCs/>
          <w:sz w:val="22"/>
          <w:szCs w:val="22"/>
        </w:rPr>
        <w:t xml:space="preserve">Email:  </w:t>
      </w:r>
      <w:r>
        <w:rPr>
          <w:rFonts w:ascii="Arial" w:cs="Arial" w:eastAsia="Arial" w:hAnsi="Arial"/>
          <w:sz w:val="22"/>
          <w:szCs w:val="22"/>
        </w:rPr>
        <w:t xml:space="preserve">info@sardegnaedile.com</w:t>
      </w:r>
    </w:p>
    <w:p>
      <w:pPr>
        <w:spacing w:after="40" w:before="40"/>
      </w:pPr>
      <w:r>
        <w:rPr>
          <w:rFonts w:ascii="Arial" w:cs="Arial" w:eastAsia="Arial" w:hAnsi="Arial"/>
          <w:b/>
          <w:bCs/>
          <w:sz w:val="22"/>
          <w:szCs w:val="22"/>
        </w:rPr>
        <w:t xml:space="preserve">PEC:  </w:t>
      </w:r>
      <w:r>
        <w:rPr>
          <w:rFonts w:ascii="Arial" w:cs="Arial" w:eastAsia="Arial" w:hAnsi="Arial"/>
          <w:sz w:val="22"/>
          <w:szCs w:val="22"/>
        </w:rPr>
        <w:t xml:space="preserve">antonio.deriu@timpec.it</w:t>
      </w:r>
    </w:p>
    <w:p>
      <w:pPr>
        <w:spacing w:after="40" w:before="40"/>
      </w:pPr>
      <w:r>
        <w:rPr>
          <w:rFonts w:ascii="Arial" w:cs="Arial" w:eastAsia="Arial" w:hAnsi="Arial"/>
          <w:b/>
          <w:bCs/>
          <w:sz w:val="22"/>
          <w:szCs w:val="22"/>
        </w:rPr>
        <w:t xml:space="preserve">Telefono:  </w:t>
      </w:r>
      <w:r>
        <w:rPr>
          <w:rFonts w:ascii="Arial" w:cs="Arial" w:eastAsia="Arial" w:hAnsi="Arial"/>
          <w:sz w:val="22"/>
          <w:szCs w:val="22"/>
        </w:rPr>
        <w:t xml:space="preserve">+39 379 1041567</w:t>
      </w:r>
    </w:p>
    <w:p>
      <w:pPr>
        <w:spacing w:after="40" w:before="40"/>
      </w:pPr>
      <w:r>
        <w:rPr>
          <w:rFonts w:ascii="Arial" w:cs="Arial" w:eastAsia="Arial" w:hAnsi="Arial"/>
          <w:b/>
          <w:bCs/>
          <w:sz w:val="22"/>
          <w:szCs w:val="22"/>
        </w:rPr>
        <w:t xml:space="preserve">Sito web:  </w:t>
      </w:r>
      <w:r>
        <w:rPr>
          <w:rFonts w:ascii="Arial" w:cs="Arial" w:eastAsia="Arial" w:hAnsi="Arial"/>
          <w:sz w:val="22"/>
          <w:szCs w:val="22"/>
        </w:rPr>
        <w:t xml:space="preserve">www.sardegnaedile.com</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Per qualsiasi comunicazione relativa al trattamento dei dati personali, l'interessato può contattare il Titolare ai recapiti sopra indicati.</w:t>
      </w:r>
    </w:p>
    <w:p>
      <w:pPr>
        <w:pStyle w:val="Heading1"/>
        <w:pBdr>
          <w:bottom w:val="single" w:color="2E75B6" w:sz="4" w:space="4"/>
        </w:pBdr>
        <w:spacing w:after="120" w:before="400"/>
      </w:pPr>
      <w:r>
        <w:rPr>
          <w:rFonts w:ascii="Arial" w:cs="Arial" w:eastAsia="Arial" w:hAnsi="Arial"/>
          <w:b/>
          <w:bCs/>
          <w:color w:val="1F3864"/>
          <w:sz w:val="28"/>
          <w:szCs w:val="28"/>
        </w:rPr>
        <w:t xml:space="preserve">Art. 2 — Categorie di dati raccolti</w:t>
      </w:r>
    </w:p>
    <w:p>
      <w:pPr>
        <w:pStyle w:val="Heading2"/>
        <w:spacing w:after="80" w:before="280"/>
      </w:pPr>
      <w:r>
        <w:rPr>
          <w:rFonts w:ascii="Arial" w:cs="Arial" w:eastAsia="Arial" w:hAnsi="Arial"/>
          <w:b/>
          <w:bCs/>
          <w:color w:val="2E75B6"/>
          <w:sz w:val="24"/>
          <w:szCs w:val="24"/>
        </w:rPr>
        <w:t xml:space="preserve">2.1 Dati forniti direttamente dall'utente</w:t>
      </w:r>
    </w:p>
    <w:p>
      <w:pPr>
        <w:spacing w:after="100" w:before="60" w:line="280" w:lineRule="auto"/>
        <w:jc w:val="both"/>
      </w:pPr>
      <w:r>
        <w:rPr>
          <w:rFonts w:ascii="Arial" w:cs="Arial" w:eastAsia="Arial" w:hAnsi="Arial"/>
          <w:b w:val="false"/>
          <w:bCs w:val="false"/>
          <w:i w:val="false"/>
          <w:iCs w:val="false"/>
          <w:color w:val="000000"/>
          <w:sz w:val="22"/>
          <w:szCs w:val="22"/>
        </w:rPr>
        <w:t xml:space="preserve">Il Titolare raccoglie i dati personali che l'utente fornisce volontariamente attraverso:</w:t>
      </w:r>
    </w:p>
    <w:p>
      <w:pPr>
        <w:spacing w:after="80" w:before="0"/>
      </w:pPr>
      <w:r>
        <w:t xml:space="preserve"/>
      </w:r>
    </w:p>
    <w:p>
      <w:pPr>
        <w:pStyle w:val="ListParagraph"/>
        <w:numPr>
          <w:ilvl w:val="0"/>
          <w:numId w:val="2"/>
        </w:numPr>
        <w:spacing w:after="40" w:before="40" w:line="276" w:lineRule="auto"/>
      </w:pPr>
      <w:r>
        <w:rPr>
          <w:rFonts w:ascii="Arial" w:cs="Arial" w:eastAsia="Arial" w:hAnsi="Arial"/>
          <w:sz w:val="22"/>
          <w:szCs w:val="22"/>
        </w:rPr>
        <w:t xml:space="preserve">moduli di contatto o richiesta preventivo presenti sul Sito;</w:t>
      </w:r>
    </w:p>
    <w:p>
      <w:pPr>
        <w:pStyle w:val="ListParagraph"/>
        <w:numPr>
          <w:ilvl w:val="0"/>
          <w:numId w:val="2"/>
        </w:numPr>
        <w:spacing w:after="40" w:before="40" w:line="276" w:lineRule="auto"/>
      </w:pPr>
      <w:r>
        <w:rPr>
          <w:rFonts w:ascii="Arial" w:cs="Arial" w:eastAsia="Arial" w:hAnsi="Arial"/>
          <w:sz w:val="22"/>
          <w:szCs w:val="22"/>
        </w:rPr>
        <w:t xml:space="preserve">comunicazioni via email, telefono, WhatsApp o PEC;</w:t>
      </w:r>
    </w:p>
    <w:p>
      <w:pPr>
        <w:pStyle w:val="ListParagraph"/>
        <w:numPr>
          <w:ilvl w:val="0"/>
          <w:numId w:val="2"/>
        </w:numPr>
        <w:spacing w:after="40" w:before="40" w:line="276" w:lineRule="auto"/>
      </w:pPr>
      <w:r>
        <w:rPr>
          <w:rFonts w:ascii="Arial" w:cs="Arial" w:eastAsia="Arial" w:hAnsi="Arial"/>
          <w:sz w:val="22"/>
          <w:szCs w:val="22"/>
        </w:rPr>
        <w:t xml:space="preserve">incontri commerciali, sopralluoghi o fiere di settore.</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Le categorie di dati tipicamente raccolte comprendono: nome e cognome, ragione sociale (per i clienti aziendali), indirizzo email, numero di telefono, indirizzo dell'immobile oggetto di fornitura, e ogni altra informazione liberamente fornita dall'utente nella descrizione della richiesta.</w:t>
      </w:r>
    </w:p>
    <w:p>
      <w:pPr>
        <w:spacing w:after="80" w:before="0"/>
      </w:pPr>
      <w:r>
        <w:t xml:space="preserve"/>
      </w:r>
    </w:p>
    <w:p>
      <w:pPr>
        <w:pStyle w:val="Heading2"/>
        <w:spacing w:after="80" w:before="280"/>
      </w:pPr>
      <w:r>
        <w:rPr>
          <w:rFonts w:ascii="Arial" w:cs="Arial" w:eastAsia="Arial" w:hAnsi="Arial"/>
          <w:b/>
          <w:bCs/>
          <w:color w:val="2E75B6"/>
          <w:sz w:val="24"/>
          <w:szCs w:val="24"/>
        </w:rPr>
        <w:t xml:space="preserve">2.2 Dati di navigazione</w:t>
      </w:r>
    </w:p>
    <w:p>
      <w:pPr>
        <w:spacing w:after="100" w:before="60" w:line="280" w:lineRule="auto"/>
        <w:jc w:val="both"/>
      </w:pPr>
      <w:r>
        <w:rPr>
          <w:rFonts w:ascii="Arial" w:cs="Arial" w:eastAsia="Arial" w:hAnsi="Arial"/>
          <w:b w:val="false"/>
          <w:bCs w:val="false"/>
          <w:i w:val="false"/>
          <w:iCs w:val="false"/>
          <w:color w:val="000000"/>
          <w:sz w:val="22"/>
          <w:szCs w:val="22"/>
        </w:rPr>
        <w:t xml:space="preserve">I sistemi informatici e le procedure software utilizzate per il funzionamento del Sito acquisiscono automaticamente alcuni dati la cui trasmissione è implicita nell'uso dei protocolli di comunicazione Internet. Tali informazioni non sono raccolte per essere associate a interessati identificati, ma potrebbero consentire l'identificazione degli utenti mediante elaborazione o associazione con dati di terzi.</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Rientrano in questa categoria: indirizzi IP, tipo di browser, sistema operativo, pagine visitate, orari di accesso, URL di provenienza. Questi dati vengono conservati per il tempo strettamente necessario e utilizzati esclusivamente per finalità tecniche e di sicurezza.</w:t>
      </w:r>
    </w:p>
    <w:p>
      <w:pPr>
        <w:spacing w:after="80" w:before="0"/>
      </w:pPr>
      <w:r>
        <w:t xml:space="preserve"/>
      </w:r>
    </w:p>
    <w:p>
      <w:pPr>
        <w:pStyle w:val="Heading2"/>
        <w:spacing w:after="80" w:before="280"/>
      </w:pPr>
      <w:r>
        <w:rPr>
          <w:rFonts w:ascii="Arial" w:cs="Arial" w:eastAsia="Arial" w:hAnsi="Arial"/>
          <w:b/>
          <w:bCs/>
          <w:color w:val="2E75B6"/>
          <w:sz w:val="24"/>
          <w:szCs w:val="24"/>
        </w:rPr>
        <w:t xml:space="preserve">2.3 Dati trattati tramite cookie</w:t>
      </w:r>
    </w:p>
    <w:p>
      <w:pPr>
        <w:spacing w:after="100" w:before="60" w:line="280" w:lineRule="auto"/>
        <w:jc w:val="both"/>
      </w:pPr>
      <w:r>
        <w:rPr>
          <w:rFonts w:ascii="Arial" w:cs="Arial" w:eastAsia="Arial" w:hAnsi="Arial"/>
          <w:b w:val="false"/>
          <w:bCs w:val="false"/>
          <w:i w:val="false"/>
          <w:iCs w:val="false"/>
          <w:color w:val="000000"/>
          <w:sz w:val="22"/>
          <w:szCs w:val="22"/>
        </w:rPr>
        <w:t xml:space="preserve">Il Sito utilizza cookie tecnici e, previa acquisizione del consenso, cookie analitici di terze parti (Google Analytics). Le informazioni complete sui cookie utilizzati, sulle relative finalità e sulle modalità di disabilitazione sono disponibili nella Cookie Policy pubblicata sul Sito.</w:t>
      </w:r>
    </w:p>
    <w:p>
      <w:pPr>
        <w:spacing w:after="80" w:before="0"/>
      </w:pPr>
      <w:r>
        <w:t xml:space="preserve"/>
      </w:r>
    </w:p>
    <w:p>
      <w:pPr>
        <w:pStyle w:val="Heading2"/>
        <w:spacing w:after="80" w:before="280"/>
      </w:pPr>
      <w:r>
        <w:rPr>
          <w:rFonts w:ascii="Arial" w:cs="Arial" w:eastAsia="Arial" w:hAnsi="Arial"/>
          <w:b/>
          <w:bCs/>
          <w:color w:val="2E75B6"/>
          <w:sz w:val="24"/>
          <w:szCs w:val="24"/>
        </w:rPr>
        <w:t xml:space="preserve">2.4 Dati sensibili</w:t>
      </w:r>
    </w:p>
    <w:p>
      <w:pPr>
        <w:spacing w:after="100" w:before="60" w:line="280" w:lineRule="auto"/>
        <w:jc w:val="both"/>
      </w:pPr>
      <w:r>
        <w:rPr>
          <w:rFonts w:ascii="Arial" w:cs="Arial" w:eastAsia="Arial" w:hAnsi="Arial"/>
          <w:b w:val="false"/>
          <w:bCs w:val="false"/>
          <w:i w:val="false"/>
          <w:iCs w:val="false"/>
          <w:color w:val="000000"/>
          <w:sz w:val="22"/>
          <w:szCs w:val="22"/>
        </w:rPr>
        <w:t xml:space="preserve">Il Titolare non raccoglie né tratta categorie particolari di dati personali (dati sanitari, biometrici, religiosi, politici, ecc.) nell'ambito della propria attività ordinaria. Qualora tali dati venissero involontariamente trasmessi dall'utente, il Titolare procederà alla loro cancellazione immediata.</w:t>
      </w:r>
    </w:p>
    <w:p>
      <w:pPr>
        <w:pStyle w:val="Heading1"/>
        <w:pBdr>
          <w:bottom w:val="single" w:color="2E75B6" w:sz="4" w:space="4"/>
        </w:pBdr>
        <w:spacing w:after="120" w:before="400"/>
      </w:pPr>
      <w:r>
        <w:rPr>
          <w:rFonts w:ascii="Arial" w:cs="Arial" w:eastAsia="Arial" w:hAnsi="Arial"/>
          <w:b/>
          <w:bCs/>
          <w:color w:val="1F3864"/>
          <w:sz w:val="28"/>
          <w:szCs w:val="28"/>
        </w:rPr>
        <w:t xml:space="preserve">Art. 3 — Finalità del trattamento e basi giuridiche</w:t>
      </w:r>
    </w:p>
    <w:p>
      <w:pPr>
        <w:spacing w:after="100" w:before="60" w:line="280" w:lineRule="auto"/>
        <w:jc w:val="both"/>
      </w:pPr>
      <w:r>
        <w:rPr>
          <w:rFonts w:ascii="Arial" w:cs="Arial" w:eastAsia="Arial" w:hAnsi="Arial"/>
          <w:b w:val="false"/>
          <w:bCs w:val="false"/>
          <w:i w:val="false"/>
          <w:iCs w:val="false"/>
          <w:color w:val="000000"/>
          <w:sz w:val="22"/>
          <w:szCs w:val="22"/>
        </w:rPr>
        <w:t xml:space="preserve">Il Titolare tratta i dati personali degli utenti per le seguenti finalità, ciascuna fondata su una specifica base giuridica ai sensi dell'art. 6 GDPR:</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26"/>
      </w:tblGrid>
      <w:tr>
        <w:trPr>
          <w:tblHeader/>
        </w:trPr>
        <w:tc>
          <w:tcPr>
            <w:tcW w:type="dxa" w:w="3000"/>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Finalità</w:t>
            </w:r>
          </w:p>
        </w:tc>
        <w:tc>
          <w:tcPr>
            <w:tcW w:type="dxa" w:w="3000"/>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Base giuridica (art. 6 GDPR)</w:t>
            </w:r>
          </w:p>
        </w:tc>
        <w:tc>
          <w:tcPr>
            <w:tcW w:type="dxa" w:w="3026"/>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Dettaglio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Risposta a richieste di contatto e preventivi</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6(1)(b) — Esecuzione misure precontrattuali</w:t>
            </w:r>
          </w:p>
        </w:tc>
        <w:tc>
          <w:tcPr>
            <w:tcW w:type="dxa" w:w="30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Necessario per rispondere alla richiesta dell'utente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Gestione del rapporto contrattuale (ordini, consegne, installazioni)</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6(1)(b) — Esecuzione del contratto</w:t>
            </w:r>
          </w:p>
        </w:tc>
        <w:tc>
          <w:tcPr>
            <w:tcW w:type="dxa" w:w="30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Trattamento indispensabile per l'esecuzione della fornitura</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Adempimenti fiscali, contabili e legali</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6(1)(c) — Obbligo legale</w:t>
            </w:r>
          </w:p>
        </w:tc>
        <w:tc>
          <w:tcPr>
            <w:tcW w:type="dxa" w:w="30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Fatturazione, conservazione documenti, obblighi IVA</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Analisi statistica delle visite al Sito (Google Analytics)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6(1)(a) — Consenso</w:t>
            </w:r>
          </w:p>
        </w:tc>
        <w:tc>
          <w:tcPr>
            <w:tcW w:type="dxa" w:w="30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Attivato solo previa accettazione cookie analitici</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Invio di comunicazioni commerciali e offerte (newsletter)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6(1)(a) — Consenso</w:t>
            </w:r>
          </w:p>
        </w:tc>
        <w:tc>
          <w:tcPr>
            <w:tcW w:type="dxa" w:w="30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Solo su espressa richiesta; revocabile in qualsiasi momento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Tutela dei diritti del Titolare in sede giudiziale o stragiudiziale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6(1)(f) — Legittimo interesse</w:t>
            </w:r>
          </w:p>
        </w:tc>
        <w:tc>
          <w:tcPr>
            <w:tcW w:type="dxa" w:w="30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Interesse prevalente alla tutela legale del Titolare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Sicurezza del Sito e prevenzione di accessi non autorizzati</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6(1)(f) — Legittimo interesse</w:t>
            </w:r>
          </w:p>
        </w:tc>
        <w:tc>
          <w:tcPr>
            <w:tcW w:type="dxa" w:w="30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Interesse prevalente alla sicurezza informatica del sistema</w:t>
            </w:r>
          </w:p>
        </w:tc>
      </w:tr>
    </w:tbl>
    <w:p>
      <w:pPr>
        <w:spacing w:after="80" w:before="0"/>
      </w:pPr>
      <w:r>
        <w:t xml:space="preserve"/>
      </w:r>
    </w:p>
    <w:p>
      <w:pPr>
        <w:pBdr>
          <w:top w:val="single" w:color="2E75B6" w:sz="4" w:space="4"/>
          <w:bottom w:val="single" w:color="2E75B6" w:sz="4" w:space="4"/>
          <w:left w:val="thick" w:color="2E75B6" w:sz="14" w:space="8"/>
        </w:pBdr>
        <w:spacing w:after="120" w:before="120"/>
        <w:ind w:left="400" w:right="200"/>
      </w:pPr>
      <w:r>
        <w:rPr>
          <w:rFonts w:ascii="Arial" w:cs="Arial" w:eastAsia="Arial" w:hAnsi="Arial"/>
          <w:i/>
          <w:iCs/>
          <w:color w:val="1F3864"/>
          <w:sz w:val="22"/>
          <w:szCs w:val="22"/>
        </w:rPr>
        <w:t xml:space="preserve">Il conferimento dei dati per le finalità di cui agli artt. 6(1)(b) e 6(1)(c) è necessario: in assenza, il Titolare non potrà dar seguito alla richiesta o al contratto. Il conferimento per le finalità basate sul consenso è sempre facoltativo e revocabile.</w:t>
      </w:r>
    </w:p>
    <w:p>
      <w:pPr>
        <w:pStyle w:val="Heading1"/>
        <w:pBdr>
          <w:bottom w:val="single" w:color="2E75B6" w:sz="4" w:space="4"/>
        </w:pBdr>
        <w:spacing w:after="120" w:before="400"/>
      </w:pPr>
      <w:r>
        <w:rPr>
          <w:rFonts w:ascii="Arial" w:cs="Arial" w:eastAsia="Arial" w:hAnsi="Arial"/>
          <w:b/>
          <w:bCs/>
          <w:color w:val="1F3864"/>
          <w:sz w:val="28"/>
          <w:szCs w:val="28"/>
        </w:rPr>
        <w:t xml:space="preserve">Art. 4 — Destinatari e comunicazione dei dati</w:t>
      </w:r>
    </w:p>
    <w:p>
      <w:pPr>
        <w:pStyle w:val="Heading2"/>
        <w:spacing w:after="80" w:before="280"/>
      </w:pPr>
      <w:r>
        <w:rPr>
          <w:rFonts w:ascii="Arial" w:cs="Arial" w:eastAsia="Arial" w:hAnsi="Arial"/>
          <w:b/>
          <w:bCs/>
          <w:color w:val="2E75B6"/>
          <w:sz w:val="24"/>
          <w:szCs w:val="24"/>
        </w:rPr>
        <w:t xml:space="preserve">4.1 Destinatari interni</w:t>
      </w:r>
    </w:p>
    <w:p>
      <w:pPr>
        <w:spacing w:after="100" w:before="60" w:line="280" w:lineRule="auto"/>
        <w:jc w:val="both"/>
      </w:pPr>
      <w:r>
        <w:rPr>
          <w:rFonts w:ascii="Arial" w:cs="Arial" w:eastAsia="Arial" w:hAnsi="Arial"/>
          <w:b w:val="false"/>
          <w:bCs w:val="false"/>
          <w:i w:val="false"/>
          <w:iCs w:val="false"/>
          <w:color w:val="000000"/>
          <w:sz w:val="22"/>
          <w:szCs w:val="22"/>
        </w:rPr>
        <w:t xml:space="preserve">I dati personali sono trattati esclusivamente dal Titolare e, per le finalità indicate, dal suo studio contabile (Fiscozen / Dott. Tucciarone) quale responsabile del trattamento ex art. 28 GDPR.</w:t>
      </w:r>
    </w:p>
    <w:p>
      <w:pPr>
        <w:spacing w:after="80" w:before="0"/>
      </w:pPr>
      <w:r>
        <w:t xml:space="preserve"/>
      </w:r>
    </w:p>
    <w:p>
      <w:pPr>
        <w:pStyle w:val="Heading2"/>
        <w:spacing w:after="80" w:before="280"/>
      </w:pPr>
      <w:r>
        <w:rPr>
          <w:rFonts w:ascii="Arial" w:cs="Arial" w:eastAsia="Arial" w:hAnsi="Arial"/>
          <w:b/>
          <w:bCs/>
          <w:color w:val="2E75B6"/>
          <w:sz w:val="24"/>
          <w:szCs w:val="24"/>
        </w:rPr>
        <w:t xml:space="preserve">4.2 Fornitori e partner tecnici</w:t>
      </w:r>
    </w:p>
    <w:p>
      <w:pPr>
        <w:spacing w:after="100" w:before="60" w:line="280" w:lineRule="auto"/>
        <w:jc w:val="both"/>
      </w:pPr>
      <w:r>
        <w:rPr>
          <w:rFonts w:ascii="Arial" w:cs="Arial" w:eastAsia="Arial" w:hAnsi="Arial"/>
          <w:b w:val="false"/>
          <w:bCs w:val="false"/>
          <w:i w:val="false"/>
          <w:iCs w:val="false"/>
          <w:color w:val="000000"/>
          <w:sz w:val="22"/>
          <w:szCs w:val="22"/>
        </w:rPr>
        <w:t xml:space="preserve">Per l'erogazione dei servizi, i dati possono essere comunicati alle seguenti categorie di soggetti, nominati responsabili del trattamento ai sensi dell'art. 28 GDPR:</w:t>
      </w:r>
    </w:p>
    <w:p>
      <w:pPr>
        <w:spacing w:after="80" w:before="0"/>
      </w:pPr>
      <w:r>
        <w:t xml:space="preserve"/>
      </w:r>
    </w:p>
    <w:p>
      <w:pPr>
        <w:pStyle w:val="ListParagraph"/>
        <w:numPr>
          <w:ilvl w:val="0"/>
          <w:numId w:val="2"/>
        </w:numPr>
        <w:spacing w:after="40" w:before="40" w:line="276" w:lineRule="auto"/>
      </w:pPr>
      <w:r>
        <w:rPr>
          <w:rFonts w:ascii="Arial" w:cs="Arial" w:eastAsia="Arial" w:hAnsi="Arial"/>
          <w:sz w:val="22"/>
          <w:szCs w:val="22"/>
        </w:rPr>
        <w:t xml:space="preserve">fornitori di servizi di hosting e infrastruttura informatica del Sito;</w:t>
      </w:r>
    </w:p>
    <w:p>
      <w:pPr>
        <w:pStyle w:val="ListParagraph"/>
        <w:numPr>
          <w:ilvl w:val="0"/>
          <w:numId w:val="2"/>
        </w:numPr>
        <w:spacing w:after="40" w:before="40" w:line="276" w:lineRule="auto"/>
      </w:pPr>
      <w:r>
        <w:rPr>
          <w:rFonts w:ascii="Arial" w:cs="Arial" w:eastAsia="Arial" w:hAnsi="Arial"/>
          <w:sz w:val="22"/>
          <w:szCs w:val="22"/>
        </w:rPr>
        <w:t xml:space="preserve">fornitori di software per CRM e gestione clienti (HubSpot Inc., con server in UE o con garanzie adeguate);</w:t>
      </w:r>
    </w:p>
    <w:p>
      <w:pPr>
        <w:pStyle w:val="ListParagraph"/>
        <w:numPr>
          <w:ilvl w:val="0"/>
          <w:numId w:val="2"/>
        </w:numPr>
        <w:spacing w:after="40" w:before="40" w:line="276" w:lineRule="auto"/>
      </w:pPr>
      <w:r>
        <w:rPr>
          <w:rFonts w:ascii="Arial" w:cs="Arial" w:eastAsia="Arial" w:hAnsi="Arial"/>
          <w:sz w:val="22"/>
          <w:szCs w:val="22"/>
        </w:rPr>
        <w:t xml:space="preserve">fornitori di servizi email e PEC;</w:t>
      </w:r>
    </w:p>
    <w:p>
      <w:pPr>
        <w:pStyle w:val="ListParagraph"/>
        <w:numPr>
          <w:ilvl w:val="0"/>
          <w:numId w:val="2"/>
        </w:numPr>
        <w:spacing w:after="40" w:before="40" w:line="276" w:lineRule="auto"/>
      </w:pPr>
      <w:r>
        <w:rPr>
          <w:rFonts w:ascii="Arial" w:cs="Arial" w:eastAsia="Arial" w:hAnsi="Arial"/>
          <w:sz w:val="22"/>
          <w:szCs w:val="22"/>
        </w:rPr>
        <w:t xml:space="preserve">installatori e tecnici incaricati dell'esecuzione dei lavori (limitatamente ai dati necessari);</w:t>
      </w:r>
    </w:p>
    <w:p>
      <w:pPr>
        <w:pStyle w:val="ListParagraph"/>
        <w:numPr>
          <w:ilvl w:val="0"/>
          <w:numId w:val="2"/>
        </w:numPr>
        <w:spacing w:after="40" w:before="40" w:line="276" w:lineRule="auto"/>
      </w:pPr>
      <w:r>
        <w:rPr>
          <w:rFonts w:ascii="Arial" w:cs="Arial" w:eastAsia="Arial" w:hAnsi="Arial"/>
          <w:sz w:val="22"/>
          <w:szCs w:val="22"/>
        </w:rPr>
        <w:t xml:space="preserve">produttori e fornitori di serramenti esteri (Polonia, Bulgaria) — solo dati tecnici dell'immobile, mai dati anagrafici del cliente finale salvo consenso.</w:t>
      </w:r>
    </w:p>
    <w:p>
      <w:pPr>
        <w:spacing w:after="80" w:before="0"/>
      </w:pPr>
      <w:r>
        <w:t xml:space="preserve"/>
      </w:r>
    </w:p>
    <w:p>
      <w:pPr>
        <w:pStyle w:val="Heading2"/>
        <w:spacing w:after="80" w:before="280"/>
      </w:pPr>
      <w:r>
        <w:rPr>
          <w:rFonts w:ascii="Arial" w:cs="Arial" w:eastAsia="Arial" w:hAnsi="Arial"/>
          <w:b/>
          <w:bCs/>
          <w:color w:val="2E75B6"/>
          <w:sz w:val="24"/>
          <w:szCs w:val="24"/>
        </w:rPr>
        <w:t xml:space="preserve">4.3 Trasferimento verso paesi terzi</w:t>
      </w:r>
    </w:p>
    <w:p>
      <w:pPr>
        <w:spacing w:after="100" w:before="60" w:line="280" w:lineRule="auto"/>
        <w:jc w:val="both"/>
      </w:pPr>
      <w:r>
        <w:rPr>
          <w:rFonts w:ascii="Arial" w:cs="Arial" w:eastAsia="Arial" w:hAnsi="Arial"/>
          <w:b w:val="false"/>
          <w:bCs w:val="false"/>
          <w:i w:val="false"/>
          <w:iCs w:val="false"/>
          <w:color w:val="000000"/>
          <w:sz w:val="22"/>
          <w:szCs w:val="22"/>
        </w:rPr>
        <w:t xml:space="preserve">Alcuni fornitori di servizi tecnici utilizzati dal Titolare (es. Google LLC per Analytics, Meta Platforms per eventuali campagne pubblicitarie) possono trasferire dati in paesi extra-UE, in particolare negli Stati Uniti d'America.</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Tali trasferimenti avvengono nel rispetto delle garanzie previste dagli artt. 44–49 GDPR, in particolare attraverso le Clausole Contrattuali Standard approvate dalla Commissione Europea (SCC) e, ove applicabile, il quadro EU-US Data Privacy Framework.</w:t>
      </w:r>
    </w:p>
    <w:p>
      <w:pPr>
        <w:spacing w:after="80" w:before="0"/>
      </w:pPr>
      <w:r>
        <w:t xml:space="preserve"/>
      </w:r>
    </w:p>
    <w:p>
      <w:pPr>
        <w:pStyle w:val="Heading2"/>
        <w:spacing w:after="80" w:before="280"/>
      </w:pPr>
      <w:r>
        <w:rPr>
          <w:rFonts w:ascii="Arial" w:cs="Arial" w:eastAsia="Arial" w:hAnsi="Arial"/>
          <w:b/>
          <w:bCs/>
          <w:color w:val="2E75B6"/>
          <w:sz w:val="24"/>
          <w:szCs w:val="24"/>
        </w:rPr>
        <w:t xml:space="preserve">4.4 Esclusione dalla vendita dei dati</w:t>
      </w:r>
    </w:p>
    <w:p>
      <w:pPr>
        <w:spacing w:after="100" w:before="60" w:line="280" w:lineRule="auto"/>
        <w:jc w:val="both"/>
      </w:pPr>
      <w:r>
        <w:rPr>
          <w:rFonts w:ascii="Arial" w:cs="Arial" w:eastAsia="Arial" w:hAnsi="Arial"/>
          <w:b w:val="false"/>
          <w:bCs w:val="false"/>
          <w:i w:val="false"/>
          <w:iCs w:val="false"/>
          <w:color w:val="000000"/>
          <w:sz w:val="22"/>
          <w:szCs w:val="22"/>
        </w:rPr>
        <w:t xml:space="preserve">Il Titolare non vende, non affitta e non cede a terzi i dati personali degli utenti per finalità commerciali proprie di tali terzi. I dati non vengono comunicati a soggetti diversi da quelli indicati nella presente Informativa.</w:t>
      </w:r>
    </w:p>
    <w:p>
      <w:pPr>
        <w:pStyle w:val="Heading1"/>
        <w:pBdr>
          <w:bottom w:val="single" w:color="2E75B6" w:sz="4" w:space="4"/>
        </w:pBdr>
        <w:spacing w:after="120" w:before="400"/>
      </w:pPr>
      <w:r>
        <w:rPr>
          <w:rFonts w:ascii="Arial" w:cs="Arial" w:eastAsia="Arial" w:hAnsi="Arial"/>
          <w:b/>
          <w:bCs/>
          <w:color w:val="1F3864"/>
          <w:sz w:val="28"/>
          <w:szCs w:val="28"/>
        </w:rPr>
        <w:t xml:space="preserve">Art. 5 — Periodo di conservazione dei dati</w:t>
      </w:r>
    </w:p>
    <w:p>
      <w:pPr>
        <w:spacing w:after="100" w:before="60" w:line="280" w:lineRule="auto"/>
        <w:jc w:val="both"/>
      </w:pPr>
      <w:r>
        <w:rPr>
          <w:rFonts w:ascii="Arial" w:cs="Arial" w:eastAsia="Arial" w:hAnsi="Arial"/>
          <w:b w:val="false"/>
          <w:bCs w:val="false"/>
          <w:i w:val="false"/>
          <w:iCs w:val="false"/>
          <w:color w:val="000000"/>
          <w:sz w:val="22"/>
          <w:szCs w:val="22"/>
        </w:rPr>
        <w:t xml:space="preserve">I dati personali sono conservati per il tempo strettamente necessario al perseguimento delle finalità per le quali sono stati raccolti, e comunque nel rispetto dei termini di prescrizione e degli obblighi di legge.</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3526"/>
      </w:tblGrid>
      <w:tr>
        <w:trPr>
          <w:tblHeader/>
        </w:trPr>
        <w:tc>
          <w:tcPr>
            <w:tcW w:type="dxa" w:w="3500"/>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Tipologia di dato / finalità</w:t>
            </w:r>
          </w:p>
        </w:tc>
        <w:tc>
          <w:tcPr>
            <w:tcW w:type="dxa" w:w="2000"/>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Periodo di conservazione</w:t>
            </w:r>
          </w:p>
        </w:tc>
        <w:tc>
          <w:tcPr>
            <w:tcW w:type="dxa" w:w="3526"/>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Riferimento normativo</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Dati da richieste di contatto senza seguito contrattuale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12 mesi</w:t>
            </w:r>
          </w:p>
        </w:tc>
        <w:tc>
          <w:tcPr>
            <w:tcW w:type="dxa" w:w="3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Interesse legittimo del Titolare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Dati contrattuali (ordini, contratti, preventivi accettati)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10 anni</w:t>
            </w:r>
          </w:p>
        </w:tc>
        <w:tc>
          <w:tcPr>
            <w:tcW w:type="dxa" w:w="3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2220 c.c. — conservazione libri e scritture contabili</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Documenti fiscali e contabili (fatture, DDT)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10 anni</w:t>
            </w:r>
          </w:p>
        </w:tc>
        <w:tc>
          <w:tcPr>
            <w:tcW w:type="dxa" w:w="3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43 D.P.R. 600/1973 — accertamento tributario</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Dati di navigazione e log di sistema</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12 mesi</w:t>
            </w:r>
          </w:p>
        </w:tc>
        <w:tc>
          <w:tcPr>
            <w:tcW w:type="dxa" w:w="3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Sicurezza informatica e prevenzione frodi</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Dati per newsletter e comunicazioni commerciali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Fino a revoca del consenso</w:t>
            </w:r>
          </w:p>
        </w:tc>
        <w:tc>
          <w:tcPr>
            <w:tcW w:type="dxa" w:w="3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6(1)(a) GDPR — consenso revocabile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Dati per difesa in giudizio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Fino a prescrizione del diritto</w:t>
            </w:r>
          </w:p>
        </w:tc>
        <w:tc>
          <w:tcPr>
            <w:tcW w:type="dxa" w:w="3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Artt. 2946–2953 c.c. — prescrizione ordinaria 10 anni</w:t>
            </w:r>
          </w:p>
        </w:tc>
      </w:tr>
    </w:tbl>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Alla scadenza del periodo di conservazione, i dati vengono cancellati o resi anonimi in modo irreversibile.</w:t>
      </w:r>
    </w:p>
    <w:p>
      <w:pPr>
        <w:pStyle w:val="Heading1"/>
        <w:pBdr>
          <w:bottom w:val="single" w:color="2E75B6" w:sz="4" w:space="4"/>
        </w:pBdr>
        <w:spacing w:after="120" w:before="400"/>
      </w:pPr>
      <w:r>
        <w:rPr>
          <w:rFonts w:ascii="Arial" w:cs="Arial" w:eastAsia="Arial" w:hAnsi="Arial"/>
          <w:b/>
          <w:bCs/>
          <w:color w:val="1F3864"/>
          <w:sz w:val="28"/>
          <w:szCs w:val="28"/>
        </w:rPr>
        <w:t xml:space="preserve">Art. 6 — Diritti dell'interessato</w:t>
      </w:r>
    </w:p>
    <w:p>
      <w:pPr>
        <w:spacing w:after="100" w:before="60" w:line="280" w:lineRule="auto"/>
        <w:jc w:val="both"/>
      </w:pPr>
      <w:r>
        <w:rPr>
          <w:rFonts w:ascii="Arial" w:cs="Arial" w:eastAsia="Arial" w:hAnsi="Arial"/>
          <w:b w:val="false"/>
          <w:bCs w:val="false"/>
          <w:i w:val="false"/>
          <w:iCs w:val="false"/>
          <w:color w:val="000000"/>
          <w:sz w:val="22"/>
          <w:szCs w:val="22"/>
        </w:rPr>
        <w:t xml:space="preserve">Ai sensi degli artt. 15–22 GDPR, l'interessato ha il diritto di:</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626"/>
      </w:tblGrid>
      <w:tr>
        <w:trPr>
          <w:tblHeader/>
        </w:trPr>
        <w:tc>
          <w:tcPr>
            <w:tcW w:type="dxa" w:w="2400"/>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Diritto</w:t>
            </w:r>
          </w:p>
        </w:tc>
        <w:tc>
          <w:tcPr>
            <w:tcW w:type="dxa" w:w="2000"/>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Articolo GDPR</w:t>
            </w:r>
          </w:p>
        </w:tc>
        <w:tc>
          <w:tcPr>
            <w:tcW w:type="dxa" w:w="4626"/>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In cosa consiste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bCs/>
                <w:i w:val="false"/>
                <w:iCs w:val="false"/>
                <w:color w:val="000000"/>
                <w:sz w:val="20"/>
                <w:szCs w:val="20"/>
              </w:rPr>
              <w:t xml:space="preserve">Accesso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15</w:t>
            </w:r>
          </w:p>
        </w:tc>
        <w:tc>
          <w:tcPr>
            <w:tcW w:type="dxa" w:w="46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Ottenere conferma se dati vengono trattati e, in caso affermativo, accedervi e riceverne copia</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bCs/>
                <w:i w:val="false"/>
                <w:iCs w:val="false"/>
                <w:color w:val="000000"/>
                <w:sz w:val="20"/>
                <w:szCs w:val="20"/>
              </w:rPr>
              <w:t xml:space="preserve">Rettifica</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16</w:t>
            </w:r>
          </w:p>
        </w:tc>
        <w:tc>
          <w:tcPr>
            <w:tcW w:type="dxa" w:w="46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Correggere dati inesatti o incompleti che lo riguardano</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bCs/>
                <w:i w:val="false"/>
                <w:iCs w:val="false"/>
                <w:color w:val="000000"/>
                <w:sz w:val="20"/>
                <w:szCs w:val="20"/>
              </w:rPr>
              <w:t xml:space="preserve">Cancellazione (diritto all'oblio)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17</w:t>
            </w:r>
          </w:p>
        </w:tc>
        <w:tc>
          <w:tcPr>
            <w:tcW w:type="dxa" w:w="46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Ottenere la cancellazione dei dati quando non sono più necessari o il consenso viene revocato (salvo obblighi di legge)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bCs/>
                <w:i w:val="false"/>
                <w:iCs w:val="false"/>
                <w:color w:val="000000"/>
                <w:sz w:val="20"/>
                <w:szCs w:val="20"/>
              </w:rPr>
              <w:t xml:space="preserve">Limitazione del trattamento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18</w:t>
            </w:r>
          </w:p>
        </w:tc>
        <w:tc>
          <w:tcPr>
            <w:tcW w:type="dxa" w:w="46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Ottenere che il trattamento sia limitato in determinate circostanze (contestazione dell'esattezza, opposizione al trattamento, ecc.)</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bCs/>
                <w:i w:val="false"/>
                <w:iCs w:val="false"/>
                <w:color w:val="000000"/>
                <w:sz w:val="20"/>
                <w:szCs w:val="20"/>
              </w:rPr>
              <w:t xml:space="preserve">Portabilità</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20</w:t>
            </w:r>
          </w:p>
        </w:tc>
        <w:tc>
          <w:tcPr>
            <w:tcW w:type="dxa" w:w="46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Ricevere i propri dati in formato strutturato e leggibile da macchina, o trasmetterli a un altro titolare (solo per trattamenti automatizzati basati su consenso o contratto)</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bCs/>
                <w:i w:val="false"/>
                <w:iCs w:val="false"/>
                <w:color w:val="000000"/>
                <w:sz w:val="20"/>
                <w:szCs w:val="20"/>
              </w:rPr>
              <w:t xml:space="preserve">Opposizione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21</w:t>
            </w:r>
          </w:p>
        </w:tc>
        <w:tc>
          <w:tcPr>
            <w:tcW w:type="dxa" w:w="46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Opporsi al trattamento basato su legittimo interesse o finalità di marketing diretto</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bCs/>
                <w:i w:val="false"/>
                <w:iCs w:val="false"/>
                <w:color w:val="000000"/>
                <w:sz w:val="20"/>
                <w:szCs w:val="20"/>
              </w:rPr>
              <w:t xml:space="preserve">Revoca del consenso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7(3)</w:t>
            </w:r>
          </w:p>
        </w:tc>
        <w:tc>
          <w:tcPr>
            <w:tcW w:type="dxa" w:w="46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Revocare in qualsiasi momento il consenso prestato, senza pregiudicare la liceità del trattamento precedente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bCs/>
                <w:i w:val="false"/>
                <w:iCs w:val="false"/>
                <w:color w:val="000000"/>
                <w:sz w:val="20"/>
                <w:szCs w:val="20"/>
              </w:rPr>
              <w:t xml:space="preserve">Reclamo all'Autorità</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Art. 77</w:t>
            </w:r>
          </w:p>
        </w:tc>
        <w:tc>
          <w:tcPr>
            <w:tcW w:type="dxa" w:w="46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Proporre reclamo al Garante per la protezione dei dati personali (www.garanteprivacy.it)</w:t>
            </w:r>
          </w:p>
        </w:tc>
      </w:tr>
    </w:tbl>
    <w:p>
      <w:pPr>
        <w:spacing w:after="80" w:before="0"/>
      </w:pPr>
      <w:r>
        <w:t xml:space="preserve"/>
      </w:r>
    </w:p>
    <w:p>
      <w:pPr>
        <w:pStyle w:val="Heading2"/>
        <w:spacing w:after="80" w:before="280"/>
      </w:pPr>
      <w:r>
        <w:rPr>
          <w:rFonts w:ascii="Arial" w:cs="Arial" w:eastAsia="Arial" w:hAnsi="Arial"/>
          <w:b/>
          <w:bCs/>
          <w:color w:val="2E75B6"/>
          <w:sz w:val="24"/>
          <w:szCs w:val="24"/>
        </w:rPr>
        <w:t xml:space="preserve">6.1 Come esercitare i diritti</w:t>
      </w:r>
    </w:p>
    <w:p>
      <w:pPr>
        <w:spacing w:after="100" w:before="60" w:line="280" w:lineRule="auto"/>
        <w:jc w:val="both"/>
      </w:pPr>
      <w:r>
        <w:rPr>
          <w:rFonts w:ascii="Arial" w:cs="Arial" w:eastAsia="Arial" w:hAnsi="Arial"/>
          <w:b w:val="false"/>
          <w:bCs w:val="false"/>
          <w:i w:val="false"/>
          <w:iCs w:val="false"/>
          <w:color w:val="000000"/>
          <w:sz w:val="22"/>
          <w:szCs w:val="22"/>
        </w:rPr>
        <w:t xml:space="preserve">Per esercitare i propri diritti, l'interessato può inviare una richiesta scritta al Titolare:</w:t>
      </w:r>
    </w:p>
    <w:p>
      <w:pPr>
        <w:spacing w:after="80" w:before="0"/>
      </w:pPr>
      <w:r>
        <w:t xml:space="preserve"/>
      </w:r>
    </w:p>
    <w:p>
      <w:pPr>
        <w:pStyle w:val="ListParagraph"/>
        <w:numPr>
          <w:ilvl w:val="0"/>
          <w:numId w:val="2"/>
        </w:numPr>
        <w:spacing w:after="40" w:before="40" w:line="276" w:lineRule="auto"/>
      </w:pPr>
      <w:r>
        <w:rPr>
          <w:rFonts w:ascii="Arial" w:cs="Arial" w:eastAsia="Arial" w:hAnsi="Arial"/>
          <w:sz w:val="22"/>
          <w:szCs w:val="22"/>
        </w:rPr>
        <w:t xml:space="preserve">via email: info@sardegnaedile.com</w:t>
      </w:r>
    </w:p>
    <w:p>
      <w:pPr>
        <w:pStyle w:val="ListParagraph"/>
        <w:numPr>
          <w:ilvl w:val="0"/>
          <w:numId w:val="2"/>
        </w:numPr>
        <w:spacing w:after="40" w:before="40" w:line="276" w:lineRule="auto"/>
      </w:pPr>
      <w:r>
        <w:rPr>
          <w:rFonts w:ascii="Arial" w:cs="Arial" w:eastAsia="Arial" w:hAnsi="Arial"/>
          <w:sz w:val="22"/>
          <w:szCs w:val="22"/>
        </w:rPr>
        <w:t xml:space="preserve">via PEC (canale privilegiato per le richieste formali): antonio.deriu@timpec.it</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Il Titolare risponderà all'interessato senza ingiustificato ritardo e comunque entro 30 giorni dal ricevimento della richiesta. Tale termine può essere prorogato di ulteriori 60 giorni in caso di particolare complessità, con comunicazione motivata all'interessato entro il primo mese.</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La risposta è fornita gratuitamente. In caso di richieste manifestamente infondate, eccessive o ripetitive, il Titolare si riserva di addebitare un contributo spese ragionevole o di rifiutare di soddisfare la richiesta, con obbligo di motivazione.</w:t>
      </w:r>
    </w:p>
    <w:p>
      <w:pPr>
        <w:pStyle w:val="Heading1"/>
        <w:pBdr>
          <w:bottom w:val="single" w:color="2E75B6" w:sz="4" w:space="4"/>
        </w:pBdr>
        <w:spacing w:after="120" w:before="400"/>
      </w:pPr>
      <w:r>
        <w:rPr>
          <w:rFonts w:ascii="Arial" w:cs="Arial" w:eastAsia="Arial" w:hAnsi="Arial"/>
          <w:b/>
          <w:bCs/>
          <w:color w:val="1F3864"/>
          <w:sz w:val="28"/>
          <w:szCs w:val="28"/>
        </w:rPr>
        <w:t xml:space="preserve">Art. 7 — Misure di sicurezza</w:t>
      </w:r>
    </w:p>
    <w:p>
      <w:pPr>
        <w:spacing w:after="100" w:before="60" w:line="280" w:lineRule="auto"/>
        <w:jc w:val="both"/>
      </w:pPr>
      <w:r>
        <w:rPr>
          <w:rFonts w:ascii="Arial" w:cs="Arial" w:eastAsia="Arial" w:hAnsi="Arial"/>
          <w:b w:val="false"/>
          <w:bCs w:val="false"/>
          <w:i w:val="false"/>
          <w:iCs w:val="false"/>
          <w:color w:val="000000"/>
          <w:sz w:val="22"/>
          <w:szCs w:val="22"/>
        </w:rPr>
        <w:t xml:space="preserve">Il Titolare adotta misure tecniche e organizzative adeguate a garantire un livello di sicurezza proporzionato al rischio, ai sensi dell'art. 32 GDPR. In particolare:</w:t>
      </w:r>
    </w:p>
    <w:p>
      <w:pPr>
        <w:spacing w:after="80" w:before="0"/>
      </w:pPr>
      <w:r>
        <w:t xml:space="preserve"/>
      </w:r>
    </w:p>
    <w:p>
      <w:pPr>
        <w:pStyle w:val="ListParagraph"/>
        <w:numPr>
          <w:ilvl w:val="0"/>
          <w:numId w:val="2"/>
        </w:numPr>
        <w:spacing w:after="40" w:before="40" w:line="276" w:lineRule="auto"/>
      </w:pPr>
      <w:r>
        <w:rPr>
          <w:rFonts w:ascii="Arial" w:cs="Arial" w:eastAsia="Arial" w:hAnsi="Arial"/>
          <w:sz w:val="22"/>
          <w:szCs w:val="22"/>
        </w:rPr>
        <w:t xml:space="preserve">il Sito è accessibile esclusivamente tramite protocollo HTTPS con certificato SSL/TLS;</w:t>
      </w:r>
    </w:p>
    <w:p>
      <w:pPr>
        <w:pStyle w:val="ListParagraph"/>
        <w:numPr>
          <w:ilvl w:val="0"/>
          <w:numId w:val="2"/>
        </w:numPr>
        <w:spacing w:after="40" w:before="40" w:line="276" w:lineRule="auto"/>
      </w:pPr>
      <w:r>
        <w:rPr>
          <w:rFonts w:ascii="Arial" w:cs="Arial" w:eastAsia="Arial" w:hAnsi="Arial"/>
          <w:sz w:val="22"/>
          <w:szCs w:val="22"/>
        </w:rPr>
        <w:t xml:space="preserve">i dati raccolti tramite i moduli online sono trasmessi in forma cifrata;</w:t>
      </w:r>
    </w:p>
    <w:p>
      <w:pPr>
        <w:pStyle w:val="ListParagraph"/>
        <w:numPr>
          <w:ilvl w:val="0"/>
          <w:numId w:val="2"/>
        </w:numPr>
        <w:spacing w:after="40" w:before="40" w:line="276" w:lineRule="auto"/>
      </w:pPr>
      <w:r>
        <w:rPr>
          <w:rFonts w:ascii="Arial" w:cs="Arial" w:eastAsia="Arial" w:hAnsi="Arial"/>
          <w:sz w:val="22"/>
          <w:szCs w:val="22"/>
        </w:rPr>
        <w:t xml:space="preserve">l'accesso ai dati è limitato al solo Titolare e ai soggetti autorizzati;</w:t>
      </w:r>
    </w:p>
    <w:p>
      <w:pPr>
        <w:pStyle w:val="ListParagraph"/>
        <w:numPr>
          <w:ilvl w:val="0"/>
          <w:numId w:val="2"/>
        </w:numPr>
        <w:spacing w:after="40" w:before="40" w:line="276" w:lineRule="auto"/>
      </w:pPr>
      <w:r>
        <w:rPr>
          <w:rFonts w:ascii="Arial" w:cs="Arial" w:eastAsia="Arial" w:hAnsi="Arial"/>
          <w:sz w:val="22"/>
          <w:szCs w:val="22"/>
        </w:rPr>
        <w:t xml:space="preserve">i sistemi informatici sono protetti da software antivirus e aggiornamenti di sicurezza periodici;</w:t>
      </w:r>
    </w:p>
    <w:p>
      <w:pPr>
        <w:pStyle w:val="ListParagraph"/>
        <w:numPr>
          <w:ilvl w:val="0"/>
          <w:numId w:val="2"/>
        </w:numPr>
        <w:spacing w:after="40" w:before="40" w:line="276" w:lineRule="auto"/>
      </w:pPr>
      <w:r>
        <w:rPr>
          <w:rFonts w:ascii="Arial" w:cs="Arial" w:eastAsia="Arial" w:hAnsi="Arial"/>
          <w:sz w:val="22"/>
          <w:szCs w:val="22"/>
        </w:rPr>
        <w:t xml:space="preserve">le comunicazioni formali con clienti e fornitori avvengono preferibilmente tramite PEC.</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In caso di violazione dei dati personali (data breach) che comporti un rischio elevato per i diritti e le libertà degli interessati, il Titolare provvederà alla notifica al Garante entro 72 ore ai sensi dell'art. 33 GDPR e, ove richiesto, alla comunicazione agli interessati ai sensi dell'art. 34 GDPR.</w:t>
      </w:r>
    </w:p>
    <w:p>
      <w:pPr>
        <w:pStyle w:val="Heading1"/>
        <w:pBdr>
          <w:bottom w:val="single" w:color="2E75B6" w:sz="4" w:space="4"/>
        </w:pBdr>
        <w:spacing w:after="120" w:before="400"/>
      </w:pPr>
      <w:r>
        <w:rPr>
          <w:rFonts w:ascii="Arial" w:cs="Arial" w:eastAsia="Arial" w:hAnsi="Arial"/>
          <w:b/>
          <w:bCs/>
          <w:color w:val="1F3864"/>
          <w:sz w:val="28"/>
          <w:szCs w:val="28"/>
        </w:rPr>
        <w:t xml:space="preserve">Art. 8 — Cookie e tecnologie di tracciamento</w:t>
      </w:r>
    </w:p>
    <w:p>
      <w:pPr>
        <w:pStyle w:val="Heading2"/>
        <w:spacing w:after="80" w:before="280"/>
      </w:pPr>
      <w:r>
        <w:rPr>
          <w:rFonts w:ascii="Arial" w:cs="Arial" w:eastAsia="Arial" w:hAnsi="Arial"/>
          <w:b/>
          <w:bCs/>
          <w:color w:val="2E75B6"/>
          <w:sz w:val="24"/>
          <w:szCs w:val="24"/>
        </w:rPr>
        <w:t xml:space="preserve">8.1 Cookie tecnici (necessari)</w:t>
      </w:r>
    </w:p>
    <w:p>
      <w:pPr>
        <w:spacing w:after="100" w:before="60" w:line="280" w:lineRule="auto"/>
        <w:jc w:val="both"/>
      </w:pPr>
      <w:r>
        <w:rPr>
          <w:rFonts w:ascii="Arial" w:cs="Arial" w:eastAsia="Arial" w:hAnsi="Arial"/>
          <w:b w:val="false"/>
          <w:bCs w:val="false"/>
          <w:i w:val="false"/>
          <w:iCs w:val="false"/>
          <w:color w:val="000000"/>
          <w:sz w:val="22"/>
          <w:szCs w:val="22"/>
        </w:rPr>
        <w:t xml:space="preserve">Il Sito utilizza cookie tecnici strettamente necessari al suo funzionamento. Non richiedono il consenso dell'utente e non possono essere disabilitati senza compromettere la navigazione. Si tratta di cookie di sessione, preferenze di lingua e sicurezza dei moduli (anti-CSRF).</w:t>
      </w:r>
    </w:p>
    <w:p>
      <w:pPr>
        <w:spacing w:after="80" w:before="0"/>
      </w:pPr>
      <w:r>
        <w:t xml:space="preserve"/>
      </w:r>
    </w:p>
    <w:p>
      <w:pPr>
        <w:pStyle w:val="Heading2"/>
        <w:spacing w:after="80" w:before="280"/>
      </w:pPr>
      <w:r>
        <w:rPr>
          <w:rFonts w:ascii="Arial" w:cs="Arial" w:eastAsia="Arial" w:hAnsi="Arial"/>
          <w:b/>
          <w:bCs/>
          <w:color w:val="2E75B6"/>
          <w:sz w:val="24"/>
          <w:szCs w:val="24"/>
        </w:rPr>
        <w:t xml:space="preserve">8.2 Cookie analitici (previo consenso)</w:t>
      </w:r>
    </w:p>
    <w:p>
      <w:pPr>
        <w:spacing w:after="100" w:before="60" w:line="280" w:lineRule="auto"/>
        <w:jc w:val="both"/>
      </w:pPr>
      <w:r>
        <w:rPr>
          <w:rFonts w:ascii="Arial" w:cs="Arial" w:eastAsia="Arial" w:hAnsi="Arial"/>
          <w:b w:val="false"/>
          <w:bCs w:val="false"/>
          <w:i w:val="false"/>
          <w:iCs w:val="false"/>
          <w:color w:val="000000"/>
          <w:sz w:val="22"/>
          <w:szCs w:val="22"/>
        </w:rPr>
        <w:t xml:space="preserve">Previo consenso esplicito dell'utente tramite il banner cookie, il Sito installa cookie analitici di Google Analytics (Google LLC) per misurare le visite, le pagine visualizzate e il comportamento degli utenti in forma aggregata e anonimizzata. L'IP dell'utente viene anonimizzato prima della trasmissione a Google.</w:t>
      </w:r>
    </w:p>
    <w:p>
      <w:pPr>
        <w:spacing w:after="80" w:before="0"/>
      </w:pPr>
      <w:r>
        <w:t xml:space="preserve"/>
      </w:r>
    </w:p>
    <w:p>
      <w:pPr>
        <w:pStyle w:val="Heading2"/>
        <w:spacing w:after="80" w:before="280"/>
      </w:pPr>
      <w:r>
        <w:rPr>
          <w:rFonts w:ascii="Arial" w:cs="Arial" w:eastAsia="Arial" w:hAnsi="Arial"/>
          <w:b/>
          <w:bCs/>
          <w:color w:val="2E75B6"/>
          <w:sz w:val="24"/>
          <w:szCs w:val="24"/>
        </w:rPr>
        <w:t xml:space="preserve">8.3 Cookie di marketing (previo consenso)</w:t>
      </w:r>
    </w:p>
    <w:p>
      <w:pPr>
        <w:spacing w:after="100" w:before="60" w:line="280" w:lineRule="auto"/>
        <w:jc w:val="both"/>
      </w:pPr>
      <w:r>
        <w:rPr>
          <w:rFonts w:ascii="Arial" w:cs="Arial" w:eastAsia="Arial" w:hAnsi="Arial"/>
          <w:b w:val="false"/>
          <w:bCs w:val="false"/>
          <w:i w:val="false"/>
          <w:iCs w:val="false"/>
          <w:color w:val="000000"/>
          <w:sz w:val="22"/>
          <w:szCs w:val="22"/>
        </w:rPr>
        <w:t xml:space="preserve">In caso di campagne pubblicitarie attive su piattaforme Meta (Facebook/Instagram) o Google Ads, possono essere presenti pixel di tracciamento per la misurazione delle conversioni e il retargeting. Tali cookie sono installati solo con il consenso esplicito dell'utente.</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1800"/>
        <w:gridCol w:w="3426"/>
      </w:tblGrid>
      <w:tr>
        <w:trPr>
          <w:tblHeader/>
        </w:trPr>
        <w:tc>
          <w:tcPr>
            <w:tcW w:type="dxa" w:w="1800"/>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Cookie</w:t>
            </w:r>
          </w:p>
        </w:tc>
        <w:tc>
          <w:tcPr>
            <w:tcW w:type="dxa" w:w="2000"/>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Fornitore</w:t>
            </w:r>
          </w:p>
        </w:tc>
        <w:tc>
          <w:tcPr>
            <w:tcW w:type="dxa" w:w="1800"/>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Tipo</w:t>
            </w:r>
          </w:p>
        </w:tc>
        <w:tc>
          <w:tcPr>
            <w:tcW w:type="dxa" w:w="3426"/>
            <w:tcBorders>
              <w:top w:val="single" w:color="CCCCCC" w:sz="1"/>
              <w:left w:val="single" w:color="CCCCCC" w:sz="1"/>
              <w:bottom w:val="single" w:color="CCCCCC" w:sz="1"/>
              <w:right w:val="single" w:color="CCCCCC" w:sz="1"/>
            </w:tcBorders>
            <w:shd w:fill="1F3864" w:val="clear"/>
            <w:tcMar>
              <w:top w:type="dxa" w:w="80"/>
              <w:left w:type="dxa" w:w="140"/>
              <w:bottom w:type="dxa" w:w="80"/>
              <w:right w:type="dxa" w:w="140"/>
            </w:tcMar>
            <w:vAlign w:val="top"/>
          </w:tcPr>
          <w:p>
            <w:pPr>
              <w:jc w:val="left"/>
            </w:pPr>
            <w:r>
              <w:rPr>
                <w:rFonts w:ascii="Arial" w:cs="Arial" w:eastAsia="Arial" w:hAnsi="Arial"/>
                <w:b/>
                <w:bCs/>
                <w:i w:val="false"/>
                <w:iCs w:val="false"/>
                <w:color w:val="FFFFFF"/>
                <w:sz w:val="20"/>
                <w:szCs w:val="20"/>
              </w:rPr>
              <w:t xml:space="preserve">Finalità e scadenza</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_ga, _gid, _gat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Google Analytics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Analitico</w:t>
            </w:r>
          </w:p>
        </w:tc>
        <w:tc>
          <w:tcPr>
            <w:tcW w:type="dxa" w:w="34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Misurazione visite; 2 anni / 24h / 1min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_fbp, _fbc</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Meta Platforms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Marketing</w:t>
            </w:r>
          </w:p>
        </w:tc>
        <w:tc>
          <w:tcPr>
            <w:tcW w:type="dxa" w:w="34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Retargeting e conversioni campagne Facebook; 90 giorni</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cookie_consent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Sito (first-party)</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Tecnico</w:t>
            </w:r>
          </w:p>
        </w:tc>
        <w:tc>
          <w:tcPr>
            <w:tcW w:type="dxa" w:w="34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vAlign w:val="top"/>
          </w:tcPr>
          <w:p>
            <w:pPr>
              <w:jc w:val="left"/>
            </w:pPr>
            <w:r>
              <w:rPr>
                <w:rFonts w:ascii="Arial" w:cs="Arial" w:eastAsia="Arial" w:hAnsi="Arial"/>
                <w:b w:val="false"/>
                <w:bCs w:val="false"/>
                <w:i w:val="false"/>
                <w:iCs w:val="false"/>
                <w:color w:val="000000"/>
                <w:sz w:val="20"/>
                <w:szCs w:val="20"/>
              </w:rPr>
              <w:t xml:space="preserve">Memorizza la scelta dell'utente sul consenso cookie; 12 mesi</w:t>
            </w:r>
          </w:p>
        </w:tc>
      </w:tr>
    </w:tbl>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L'utente può modificare le proprie preferenze sui cookie in qualsiasi momento tramite il link «Gestisci cookie» presente nel footer del Sito, o attraverso le impostazioni del proprio browser.</w:t>
      </w:r>
    </w:p>
    <w:p>
      <w:pPr>
        <w:pStyle w:val="Heading1"/>
        <w:pBdr>
          <w:bottom w:val="single" w:color="2E75B6" w:sz="4" w:space="4"/>
        </w:pBdr>
        <w:spacing w:after="120" w:before="400"/>
      </w:pPr>
      <w:r>
        <w:rPr>
          <w:rFonts w:ascii="Arial" w:cs="Arial" w:eastAsia="Arial" w:hAnsi="Arial"/>
          <w:b/>
          <w:bCs/>
          <w:color w:val="1F3864"/>
          <w:sz w:val="28"/>
          <w:szCs w:val="28"/>
        </w:rPr>
        <w:t xml:space="preserve">Art. 9 — Minori</w:t>
      </w:r>
    </w:p>
    <w:p>
      <w:pPr>
        <w:spacing w:after="100" w:before="60" w:line="280" w:lineRule="auto"/>
        <w:jc w:val="both"/>
      </w:pPr>
      <w:r>
        <w:rPr>
          <w:rFonts w:ascii="Arial" w:cs="Arial" w:eastAsia="Arial" w:hAnsi="Arial"/>
          <w:b w:val="false"/>
          <w:bCs w:val="false"/>
          <w:i w:val="false"/>
          <w:iCs w:val="false"/>
          <w:color w:val="000000"/>
          <w:sz w:val="22"/>
          <w:szCs w:val="22"/>
        </w:rPr>
        <w:t xml:space="preserve">Il Sito e i servizi offerti da Sardegna Edile sono destinati esclusivamente a soggetti maggiorenni (età superiore a 18 anni) o a soggetti che agiscono nell'ambito di un'attività professionale. Il Titolare non raccoglie consapevolmente dati personali di minori di 18 anni.</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Qualora venisse accertata la raccolta non intenzionale di dati relativi a un minore, il Titolare procederà alla loro cancellazione immediata. I genitori o tutori legali che ritengano che i propri figli abbiano fornito dati personali sono pregati di contattare il Titolare ai recapiti indicati all'art. 1.</w:t>
      </w:r>
    </w:p>
    <w:p>
      <w:pPr>
        <w:pStyle w:val="Heading1"/>
        <w:pBdr>
          <w:bottom w:val="single" w:color="2E75B6" w:sz="4" w:space="4"/>
        </w:pBdr>
        <w:spacing w:after="120" w:before="400"/>
      </w:pPr>
      <w:r>
        <w:rPr>
          <w:rFonts w:ascii="Arial" w:cs="Arial" w:eastAsia="Arial" w:hAnsi="Arial"/>
          <w:b/>
          <w:bCs/>
          <w:color w:val="1F3864"/>
          <w:sz w:val="28"/>
          <w:szCs w:val="28"/>
        </w:rPr>
        <w:t xml:space="preserve">Art. 10 — Aggiornamenti alla presente Informativa</w:t>
      </w:r>
    </w:p>
    <w:p>
      <w:pPr>
        <w:spacing w:after="100" w:before="60" w:line="280" w:lineRule="auto"/>
        <w:jc w:val="both"/>
      </w:pPr>
      <w:r>
        <w:rPr>
          <w:rFonts w:ascii="Arial" w:cs="Arial" w:eastAsia="Arial" w:hAnsi="Arial"/>
          <w:b w:val="false"/>
          <w:bCs w:val="false"/>
          <w:i w:val="false"/>
          <w:iCs w:val="false"/>
          <w:color w:val="000000"/>
          <w:sz w:val="22"/>
          <w:szCs w:val="22"/>
        </w:rPr>
        <w:t xml:space="preserve">Il Titolare si riserva il diritto di modificare o aggiornare la presente Informativa in qualsiasi momento, in particolare a seguito di variazioni normative, sentenze del Garante, aggiornamenti tecnologici o modifiche alle finalità di trattamento.</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Le modifiche sostanziali vengono comunicate agli utenti registrati via email. Per tutti gli utenti, la versione aggiornata è sempre disponibile sul Sito con indicazione della data dell'ultimo aggiornamento in calce al documento.</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Si consiglia di verificare periodicamente la presente Informativa. L'uso continuato del Sito successivamente alla pubblicazione di modifiche costituisce accettazione delle stesse.</w:t>
      </w:r>
    </w:p>
    <w:p>
      <w:pPr>
        <w:pStyle w:val="Heading1"/>
        <w:pBdr>
          <w:bottom w:val="single" w:color="2E75B6" w:sz="4" w:space="4"/>
        </w:pBdr>
        <w:spacing w:after="120" w:before="400"/>
      </w:pPr>
      <w:r>
        <w:rPr>
          <w:rFonts w:ascii="Arial" w:cs="Arial" w:eastAsia="Arial" w:hAnsi="Arial"/>
          <w:b/>
          <w:bCs/>
          <w:color w:val="1F3864"/>
          <w:sz w:val="28"/>
          <w:szCs w:val="28"/>
        </w:rPr>
        <w:t xml:space="preserve">Art. 11 — Diritto di reclamo al Garante</w:t>
      </w:r>
    </w:p>
    <w:p>
      <w:pPr>
        <w:spacing w:after="100" w:before="60" w:line="280" w:lineRule="auto"/>
        <w:jc w:val="both"/>
      </w:pPr>
      <w:r>
        <w:rPr>
          <w:rFonts w:ascii="Arial" w:cs="Arial" w:eastAsia="Arial" w:hAnsi="Arial"/>
          <w:b w:val="false"/>
          <w:bCs w:val="false"/>
          <w:i w:val="false"/>
          <w:iCs w:val="false"/>
          <w:color w:val="000000"/>
          <w:sz w:val="22"/>
          <w:szCs w:val="22"/>
        </w:rPr>
        <w:t xml:space="preserve">Fatto salvo ogni altro ricorso amministrativo o giurisdizionale, l'interessato che ritenga che il trattamento dei propri dati personali avvenga in violazione del GDPR ha il diritto di proporre reclamo all'Autorità di controllo competente.</w:t>
      </w:r>
    </w:p>
    <w:p>
      <w:pPr>
        <w:spacing w:after="80" w:before="0"/>
      </w:pPr>
      <w:r>
        <w:t xml:space="preserve"/>
      </w:r>
    </w:p>
    <w:p>
      <w:pPr>
        <w:spacing w:after="100" w:before="60" w:line="280" w:lineRule="auto"/>
        <w:jc w:val="both"/>
      </w:pPr>
      <w:r>
        <w:rPr>
          <w:rFonts w:ascii="Arial" w:cs="Arial" w:eastAsia="Arial" w:hAnsi="Arial"/>
          <w:b w:val="false"/>
          <w:bCs w:val="false"/>
          <w:i w:val="false"/>
          <w:iCs w:val="false"/>
          <w:color w:val="000000"/>
          <w:sz w:val="22"/>
          <w:szCs w:val="22"/>
        </w:rPr>
        <w:t xml:space="preserve">L'Autorità di controllo competente per l'Italia è:</w:t>
      </w:r>
    </w:p>
    <w:p>
      <w:pPr>
        <w:spacing w:after="80" w:before="0"/>
      </w:pPr>
      <w:r>
        <w:t xml:space="preserve"/>
      </w:r>
    </w:p>
    <w:p>
      <w:pPr>
        <w:spacing w:after="40" w:before="40"/>
      </w:pPr>
      <w:r>
        <w:rPr>
          <w:rFonts w:ascii="Arial" w:cs="Arial" w:eastAsia="Arial" w:hAnsi="Arial"/>
          <w:b/>
          <w:bCs/>
          <w:sz w:val="22"/>
          <w:szCs w:val="22"/>
        </w:rPr>
        <w:t xml:space="preserve">Denominazione:  </w:t>
      </w:r>
      <w:r>
        <w:rPr>
          <w:rFonts w:ascii="Arial" w:cs="Arial" w:eastAsia="Arial" w:hAnsi="Arial"/>
          <w:sz w:val="22"/>
          <w:szCs w:val="22"/>
        </w:rPr>
        <w:t xml:space="preserve">Garante per la protezione dei dati personali</w:t>
      </w:r>
    </w:p>
    <w:p>
      <w:pPr>
        <w:spacing w:after="40" w:before="40"/>
      </w:pPr>
      <w:r>
        <w:rPr>
          <w:rFonts w:ascii="Arial" w:cs="Arial" w:eastAsia="Arial" w:hAnsi="Arial"/>
          <w:b/>
          <w:bCs/>
          <w:sz w:val="22"/>
          <w:szCs w:val="22"/>
        </w:rPr>
        <w:t xml:space="preserve">Sito web:  </w:t>
      </w:r>
      <w:r>
        <w:rPr>
          <w:rFonts w:ascii="Arial" w:cs="Arial" w:eastAsia="Arial" w:hAnsi="Arial"/>
          <w:sz w:val="22"/>
          <w:szCs w:val="22"/>
        </w:rPr>
        <w:t xml:space="preserve">www.garanteprivacy.it</w:t>
      </w:r>
    </w:p>
    <w:p>
      <w:pPr>
        <w:spacing w:after="40" w:before="40"/>
      </w:pPr>
      <w:r>
        <w:rPr>
          <w:rFonts w:ascii="Arial" w:cs="Arial" w:eastAsia="Arial" w:hAnsi="Arial"/>
          <w:b/>
          <w:bCs/>
          <w:sz w:val="22"/>
          <w:szCs w:val="22"/>
        </w:rPr>
        <w:t xml:space="preserve">Email:  </w:t>
      </w:r>
      <w:r>
        <w:rPr>
          <w:rFonts w:ascii="Arial" w:cs="Arial" w:eastAsia="Arial" w:hAnsi="Arial"/>
          <w:sz w:val="22"/>
          <w:szCs w:val="22"/>
        </w:rPr>
        <w:t xml:space="preserve">garante@gpdp.it</w:t>
      </w:r>
    </w:p>
    <w:p>
      <w:pPr>
        <w:spacing w:after="40" w:before="40"/>
      </w:pPr>
      <w:r>
        <w:rPr>
          <w:rFonts w:ascii="Arial" w:cs="Arial" w:eastAsia="Arial" w:hAnsi="Arial"/>
          <w:b/>
          <w:bCs/>
          <w:sz w:val="22"/>
          <w:szCs w:val="22"/>
        </w:rPr>
        <w:t xml:space="preserve">PEC:  </w:t>
      </w:r>
      <w:r>
        <w:rPr>
          <w:rFonts w:ascii="Arial" w:cs="Arial" w:eastAsia="Arial" w:hAnsi="Arial"/>
          <w:sz w:val="22"/>
          <w:szCs w:val="22"/>
        </w:rPr>
        <w:t xml:space="preserve">protocollo@pec.gpdp.it</w:t>
      </w:r>
    </w:p>
    <w:p>
      <w:pPr>
        <w:spacing w:after="40" w:before="40"/>
      </w:pPr>
      <w:r>
        <w:rPr>
          <w:rFonts w:ascii="Arial" w:cs="Arial" w:eastAsia="Arial" w:hAnsi="Arial"/>
          <w:b/>
          <w:bCs/>
          <w:sz w:val="22"/>
          <w:szCs w:val="22"/>
        </w:rPr>
        <w:t xml:space="preserve">Indirizzo:  </w:t>
      </w:r>
      <w:r>
        <w:rPr>
          <w:rFonts w:ascii="Arial" w:cs="Arial" w:eastAsia="Arial" w:hAnsi="Arial"/>
          <w:sz w:val="22"/>
          <w:szCs w:val="22"/>
        </w:rPr>
        <w:t xml:space="preserve">Piazza Venezia 11, 00187 Roma (RM)</w:t>
      </w:r>
    </w:p>
    <w:p>
      <w:pPr>
        <w:spacing w:after="40" w:before="40"/>
      </w:pPr>
      <w:r>
        <w:rPr>
          <w:rFonts w:ascii="Arial" w:cs="Arial" w:eastAsia="Arial" w:hAnsi="Arial"/>
          <w:b/>
          <w:bCs/>
          <w:sz w:val="22"/>
          <w:szCs w:val="22"/>
        </w:rPr>
        <w:t xml:space="preserve">Telefono:  </w:t>
      </w:r>
      <w:r>
        <w:rPr>
          <w:rFonts w:ascii="Arial" w:cs="Arial" w:eastAsia="Arial" w:hAnsi="Arial"/>
          <w:sz w:val="22"/>
          <w:szCs w:val="22"/>
        </w:rPr>
        <w:t xml:space="preserve">+39 06 696771</w:t>
      </w:r>
    </w:p>
    <w:p>
      <w:pPr>
        <w:spacing w:after="80" w:before="0"/>
      </w:pPr>
      <w:r>
        <w:t xml:space="preserve"/>
      </w:r>
    </w:p>
    <w:p>
      <w:pPr>
        <w:spacing w:after="100" w:before="60" w:line="280" w:lineRule="auto"/>
        <w:jc w:val="both"/>
      </w:pPr>
      <w:r>
        <w:rPr>
          <w:rFonts w:ascii="Arial" w:cs="Arial" w:eastAsia="Arial" w:hAnsi="Arial"/>
          <w:b w:val="false"/>
          <w:bCs w:val="false"/>
          <w:i/>
          <w:iCs/>
          <w:color w:val="000000"/>
          <w:sz w:val="22"/>
          <w:szCs w:val="22"/>
        </w:rPr>
        <w:t xml:space="preserve">Prima di presentare un reclamo formale al Garante, il Titolare invita l'interessato a contattarlo direttamente per risolvere la questione in via amichevole.</w:t>
      </w:r>
    </w:p>
    <w:p>
      <w:pPr>
        <w:spacing w:after="80" w:before="0"/>
      </w:pPr>
      <w:r>
        <w:t xml:space="preserve"/>
      </w:r>
    </w:p>
    <w:p>
      <w:pPr>
        <w:spacing w:after="80" w:before="0"/>
      </w:pPr>
      <w:r>
        <w:t xml:space="preserve"/>
      </w:r>
    </w:p>
    <w:p>
      <w:pPr>
        <w:pBdr>
          <w:top w:val="single" w:color="2E75B6" w:sz="4" w:space="6"/>
        </w:pBdr>
        <w:spacing w:after="40" w:before="360"/>
        <w:jc w:val="center"/>
      </w:pPr>
      <w:r>
        <w:rPr>
          <w:rFonts w:ascii="Arial" w:cs="Arial" w:eastAsia="Arial" w:hAnsi="Arial"/>
          <w:color w:val="595959"/>
          <w:sz w:val="18"/>
          <w:szCs w:val="18"/>
        </w:rPr>
        <w:t xml:space="preserve">Sardegna Edile — Geom. Antonio Deriu | P.IVA IT03052310905</w:t>
      </w:r>
    </w:p>
    <w:p>
      <w:pPr>
        <w:spacing w:after="0" w:before="0"/>
        <w:jc w:val="center"/>
      </w:pPr>
      <w:r>
        <w:rPr>
          <w:rFonts w:ascii="Arial" w:cs="Arial" w:eastAsia="Arial" w:hAnsi="Arial"/>
          <w:color w:val="595959"/>
          <w:sz w:val="18"/>
          <w:szCs w:val="18"/>
        </w:rPr>
        <w:t xml:space="preserve">info@sardegnaedile.com | antonio.deriu@timpec.it | www.sardegnaedile.com | 19 maggio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sul trattamento dei dati personali — GDPR art. 13</dc:title>
  <dc:creator>Sardegna Edile — Antonio Deriu</dc:creator>
  <cp:lastModifiedBy>Un-named</cp:lastModifiedBy>
  <cp:revision>1</cp:revision>
  <dcterms:created xsi:type="dcterms:W3CDTF">2026-05-19T14:08:44.293Z</dcterms:created>
  <dcterms:modified xsi:type="dcterms:W3CDTF">2026-05-19T14:08:44.293Z</dcterms:modified>
</cp:coreProperties>
</file>

<file path=docProps/custom.xml><?xml version="1.0" encoding="utf-8"?>
<Properties xmlns="http://schemas.openxmlformats.org/officeDocument/2006/custom-properties" xmlns:vt="http://schemas.openxmlformats.org/officeDocument/2006/docPropsVTypes"/>
</file>